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82"/>
        <w:ind w:right="118"/>
        <w:jc w:val="center"/>
        <w:rPr>
          <w:b w:val="1"/>
          <w:bCs w:val="1"/>
          <w:sz w:val="19"/>
          <w:szCs w:val="19"/>
        </w:rPr>
      </w:pP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POL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TICA</w:t>
      </w:r>
      <w:r>
        <w:rPr>
          <w:b w:val="1"/>
          <w:bCs w:val="1"/>
          <w:outline w:val="0"/>
          <w:color w:val="333333"/>
          <w:spacing w:val="-8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DE</w:t>
      </w:r>
      <w:r>
        <w:rPr>
          <w:b w:val="1"/>
          <w:bCs w:val="1"/>
          <w:outline w:val="0"/>
          <w:color w:val="333333"/>
          <w:spacing w:val="-5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PRIVACIDAD</w:t>
      </w:r>
      <w:r>
        <w:rPr>
          <w:b w:val="1"/>
          <w:bCs w:val="1"/>
          <w:outline w:val="0"/>
          <w:color w:val="333333"/>
          <w:spacing w:val="-7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DE</w:t>
      </w:r>
      <w:r>
        <w:rPr>
          <w:b w:val="1"/>
          <w:bCs w:val="1"/>
          <w:outline w:val="0"/>
          <w:color w:val="333333"/>
          <w:spacing w:val="-5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LA</w:t>
      </w:r>
      <w:r>
        <w:rPr>
          <w:b w:val="1"/>
          <w:bCs w:val="1"/>
          <w:outline w:val="0"/>
          <w:color w:val="333333"/>
          <w:spacing w:val="-5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b w:val="1"/>
          <w:bCs w:val="1"/>
          <w:outline w:val="0"/>
          <w:color w:val="333333"/>
          <w:sz w:val="19"/>
          <w:szCs w:val="19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NEA</w:t>
      </w:r>
      <w:r>
        <w:rPr>
          <w:b w:val="1"/>
          <w:bCs w:val="1"/>
          <w:outline w:val="0"/>
          <w:color w:val="333333"/>
          <w:spacing w:val="-5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spacing w:val="-4"/>
          <w:sz w:val="19"/>
          <w:szCs w:val="19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b w:val="1"/>
          <w:bCs w:val="1"/>
          <w:outline w:val="0"/>
          <w:color w:val="333333"/>
          <w:spacing w:val="-4"/>
          <w:sz w:val="19"/>
          <w:szCs w:val="19"/>
          <w:u w:color="333333"/>
          <w:rtl w:val="0"/>
          <w14:textFill>
            <w14:solidFill>
              <w14:srgbClr w14:val="333333"/>
            </w14:solidFill>
          </w14:textFill>
        </w:rPr>
        <w:t>TICA</w:t>
      </w:r>
    </w:p>
    <w:p>
      <w:pPr>
        <w:pStyle w:val="Body"/>
        <w:spacing w:before="215" w:line="206" w:lineRule="auto"/>
        <w:ind w:left="118" w:right="117" w:firstLine="0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La presente pol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tica de privacidad describe la forma en que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Aseguradora Aserta, S.A. de C.V., Sucursal Espa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ñ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a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(en adelante, </w:t>
      </w:r>
      <w:r>
        <w:rPr>
          <w:b w:val="1"/>
          <w:bCs w:val="1"/>
          <w:i w:val="1"/>
          <w:iCs w:val="1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b w:val="1"/>
          <w:bCs w:val="1"/>
          <w:i w:val="1"/>
          <w:iCs w:val="1"/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ASERTA</w:t>
      </w:r>
      <w:r>
        <w:rPr>
          <w:b w:val="1"/>
          <w:bCs w:val="1"/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 tratar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á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de car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cter personal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recabados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trav</w:t>
      </w:r>
      <w:r>
        <w:rPr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su</w:t>
      </w:r>
      <w:r>
        <w:rPr>
          <w:outline w:val="0"/>
          <w:color w:val="333333"/>
          <w:spacing w:val="-1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Sistema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Interno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Informaci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(en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adelante,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el</w:t>
      </w:r>
      <w:r>
        <w:rPr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SII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 xml:space="preserve">o la </w:t>
      </w:r>
      <w:r>
        <w:rPr>
          <w:i w:val="1"/>
          <w:iCs w:val="1"/>
          <w:outline w:val="0"/>
          <w:color w:val="333333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nea </w:t>
      </w:r>
      <w:r>
        <w:rPr>
          <w:i w:val="1"/>
          <w:iCs w:val="1"/>
          <w:outline w:val="0"/>
          <w:color w:val="333333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i w:val="1"/>
          <w:i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tica</w:t>
      </w:r>
      <w:r>
        <w:rPr>
          <w:i w:val="1"/>
          <w:i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).</w:t>
      </w:r>
    </w:p>
    <w:p>
      <w:pPr>
        <w:pStyle w:val="Body"/>
        <w:spacing w:before="215" w:line="206" w:lineRule="auto"/>
        <w:ind w:left="118" w:right="117" w:firstLine="0"/>
        <w:jc w:val="both"/>
      </w:pPr>
    </w:p>
    <w:p>
      <w:pPr>
        <w:pStyle w:val="heading 1"/>
        <w:numPr>
          <w:ilvl w:val="0"/>
          <w:numId w:val="2"/>
        </w:numPr>
        <w:spacing w:before="214"/>
        <w:rPr>
          <w:lang w:val="es-ES_tradnl"/>
        </w:rPr>
      </w:pP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Responsable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Tratamiento</w:t>
      </w:r>
    </w:p>
    <w:p>
      <w:pPr>
        <w:pStyle w:val="Body Text"/>
        <w:spacing w:before="3"/>
        <w:ind w:left="0" w:firstLine="0"/>
        <w:jc w:val="left"/>
        <w:rPr>
          <w:b w:val="1"/>
          <w:bCs w:val="1"/>
        </w:rPr>
      </w:pPr>
    </w:p>
    <w:p>
      <w:pPr>
        <w:pStyle w:val="Body Text"/>
        <w:ind w:right="232"/>
        <w:rPr>
          <w:i w:val="1"/>
          <w:iCs w:val="1"/>
        </w:rPr>
      </w:pP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efectos de lo dispuesto por la legislaci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materia de protecci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datos de car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cter personal, y en particular por el Reglamento (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UE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 2016/679 del Parlamento Europeo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y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Consejo,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27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abril de 2016, relativo a la protecci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las personas f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sicas en lo que respecta al tratamiento de datos personales y a la libre circulaci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estos datos y por el que se deroga la Directiva 95/46/CE (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 "RGPD"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), le informamos</w:t>
      </w:r>
      <w:r>
        <w:rPr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 que la informaci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y/o datos personales que nos pudiera facilitar el informante a trav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de la L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 sobre acciones u omisiones previstas en el art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culo 2 de la Ley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2/2023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reguladora de la protecci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las personas que informen sobre infracciones normativas y de lucha contra la corrupci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(en adelante, la 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Ley de Protecci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del Informante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 as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í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como los que se pudieran recabar en el curso de la correspondiente investigaci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se incluyen en el registro de actividades del tratamiento cuyo Responsable es el Consejo de Administraci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de 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Aseguradora Aserta, S.A. de C.V.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(en adelante, </w:t>
      </w:r>
      <w:r>
        <w:rPr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”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</w:t>
      </w:r>
    </w:p>
    <w:p>
      <w:pPr>
        <w:pStyle w:val="heading 1"/>
        <w:spacing w:before="215"/>
        <w:ind w:left="118" w:firstLine="0"/>
      </w:pP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Informaci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contacto:</w:t>
      </w:r>
    </w:p>
    <w:p>
      <w:pPr>
        <w:pStyle w:val="Body"/>
        <w:spacing w:before="218"/>
        <w:ind w:left="118" w:firstLine="0"/>
      </w:pPr>
      <w:r>
        <w:rPr>
          <w:b w:val="1"/>
          <w:bCs w:val="1"/>
          <w:outline w:val="0"/>
          <w:color w:val="333333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Domicilio</w:t>
      </w:r>
      <w:r>
        <w:rPr>
          <w:b w:val="1"/>
          <w:bCs w:val="1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social:</w:t>
      </w:r>
      <w:r>
        <w:rPr>
          <w:b w:val="1"/>
          <w:bCs w:val="1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Calle Vel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zquez 94, 3</w:t>
      </w:r>
      <w:r>
        <w:rPr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ª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, 28006 Madrid.</w:t>
      </w:r>
    </w:p>
    <w:p>
      <w:pPr>
        <w:pStyle w:val="Body"/>
        <w:spacing w:before="1"/>
        <w:ind w:left="118" w:firstLine="0"/>
      </w:pP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Direcci</w:t>
      </w:r>
      <w:r>
        <w:rPr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b w:val="1"/>
          <w:bCs w:val="1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p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gina</w:t>
      </w:r>
      <w:r>
        <w:rPr>
          <w:b w:val="1"/>
          <w:bCs w:val="1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b w:val="1"/>
          <w:bCs w:val="1"/>
          <w:outline w:val="0"/>
          <w:color w:val="333333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web:</w:t>
      </w:r>
      <w:r>
        <w:rPr>
          <w:b w:val="1"/>
          <w:bCs w:val="1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"http://www.aserta.com/sucursal-espana"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www.aserta.com/sucursal-espana</w:t>
      </w:r>
      <w:r>
        <w:rPr/>
        <w:fldChar w:fldCharType="end" w:fldLock="0"/>
      </w:r>
    </w:p>
    <w:p>
      <w:pPr>
        <w:pStyle w:val="Body Text"/>
        <w:spacing w:before="5"/>
        <w:ind w:left="0" w:firstLine="0"/>
        <w:jc w:val="left"/>
      </w:pPr>
    </w:p>
    <w:p>
      <w:pPr>
        <w:pStyle w:val="Body Text"/>
        <w:spacing w:line="237" w:lineRule="auto"/>
        <w:ind w:right="153"/>
        <w:jc w:val="left"/>
      </w:pP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Asimismo,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informa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que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”</w:t>
      </w:r>
      <w:r>
        <w:rPr>
          <w:i w:val="1"/>
          <w:i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cuenta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un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Delegado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Protecci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 Datos con el que podr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contactar en la siguiente direcci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de correo: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"mailto:dpdaserta@aserta.com"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dpdaserta@aserta.com.</w:t>
      </w:r>
      <w:r>
        <w:rPr/>
        <w:fldChar w:fldCharType="end" w:fldLock="0"/>
      </w:r>
    </w:p>
    <w:p>
      <w:pPr>
        <w:pStyle w:val="Body Text"/>
        <w:spacing w:line="237" w:lineRule="auto"/>
        <w:ind w:right="153"/>
        <w:jc w:val="left"/>
      </w:pPr>
    </w:p>
    <w:p>
      <w:pPr>
        <w:pStyle w:val="heading 1"/>
        <w:numPr>
          <w:ilvl w:val="0"/>
          <w:numId w:val="3"/>
        </w:numPr>
        <w:spacing w:before="250" w:line="244" w:lineRule="auto"/>
        <w:ind w:right="476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mo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utilizamos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personales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(finalidades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tratamiento y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bases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legitimadoras)</w:t>
      </w:r>
    </w:p>
    <w:p>
      <w:pPr>
        <w:pStyle w:val="Body Text"/>
        <w:spacing w:before="208"/>
        <w:ind w:right="227"/>
        <w:rPr>
          <w:rStyle w:val="None"/>
          <w:b w:val="1"/>
          <w:bCs w:val="1"/>
          <w:i w:val="1"/>
          <w:iCs w:val="1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personales 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tratados por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 la finalidad principal de tramitar las comunicaciones presentadas, esto es, registrar, gestionar y examinar la informaci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recibida y, si procede, investigar la realidad de los hechos denunciados en relaci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con posibles irregularidades, incumplimientos o comportamientos contrarios a la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tica, la legalidad o las normas corporativas de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”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</w:t>
      </w:r>
    </w:p>
    <w:p>
      <w:pPr>
        <w:pStyle w:val="Body Text"/>
        <w:spacing w:before="1"/>
        <w:ind w:left="0" w:firstLine="0"/>
        <w:jc w:val="left"/>
        <w:rPr>
          <w:rStyle w:val="None"/>
          <w:b w:val="1"/>
          <w:bCs w:val="1"/>
          <w:i w:val="1"/>
          <w:iCs w:val="1"/>
        </w:rPr>
      </w:pPr>
    </w:p>
    <w:p>
      <w:pPr>
        <w:pStyle w:val="Body Text"/>
        <w:spacing w:line="237" w:lineRule="auto"/>
        <w:ind w:right="233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personales 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tratados exclusivamente para los fines expuestos y no 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tratados ulteriormente de manera incompatible con dichos fines.</w:t>
      </w:r>
    </w:p>
    <w:p>
      <w:pPr>
        <w:pStyle w:val="Body Text"/>
        <w:spacing w:before="3"/>
        <w:ind w:left="0" w:firstLine="0"/>
        <w:jc w:val="left"/>
      </w:pPr>
    </w:p>
    <w:p>
      <w:pPr>
        <w:pStyle w:val="Body Text"/>
        <w:ind w:right="232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 base legitimadora del tratamiento es el cumplimiento de una obligaci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legal de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(art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culo 6.1 c) del RGPD) conforme a lo dispuesto en el art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culo 30.2 de la Ley de 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del Informante.</w:t>
      </w:r>
    </w:p>
    <w:p>
      <w:pPr>
        <w:pStyle w:val="Body Text"/>
        <w:spacing w:before="1"/>
        <w:ind w:left="0" w:firstLine="0"/>
        <w:jc w:val="left"/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 la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contuviera categor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 especiales de datos personales y estos fueran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relevantes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objeto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base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legitimadora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tratamiento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 inter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p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ú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blico esencial (art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culo 9.2 g) del RGPD) conforme a lo dispuesto en el art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culo 30.5 de la Ley de 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del Informante.</w:t>
      </w: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Body Text"/>
        <w:ind w:right="237"/>
      </w:pPr>
    </w:p>
    <w:p>
      <w:pPr>
        <w:pStyle w:val="heading 1"/>
        <w:numPr>
          <w:ilvl w:val="0"/>
          <w:numId w:val="2"/>
        </w:numPr>
        <w:spacing w:before="81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personales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tratados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y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procedencia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necesario,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para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curso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investigaci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n.</w:t>
      </w:r>
    </w:p>
    <w:p>
      <w:pPr>
        <w:pStyle w:val="Body Text"/>
        <w:spacing w:before="213"/>
        <w:ind w:right="228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ser aportados por el informante en el momento de realizar la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o durante el curso de la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n. Los datos aportados deber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ser relevantes para la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o la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no debiendo recoger categor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 especiales de datos personales en caso de no ser estrictamente necesario para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cumplir con la finalidad del tratamiento.</w:t>
      </w:r>
    </w:p>
    <w:p>
      <w:pPr>
        <w:pStyle w:val="Body Text"/>
        <w:spacing w:before="213"/>
        <w:ind w:right="228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rtl w:val="0"/>
          <w:lang w:val="es-ES_tradnl"/>
        </w:rPr>
        <w:t xml:space="preserve"> </w:t>
      </w:r>
    </w:p>
    <w:p>
      <w:pPr>
        <w:pStyle w:val="heading 1"/>
        <w:numPr>
          <w:ilvl w:val="0"/>
          <w:numId w:val="2"/>
        </w:numPr>
        <w:spacing w:before="83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personales</w:t>
      </w:r>
    </w:p>
    <w:p>
      <w:pPr>
        <w:pStyle w:val="Body Text"/>
        <w:spacing w:before="251"/>
        <w:ind w:right="229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El tratamiento de los datos personales contenidos en el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SII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/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tica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queda limitado exclusivamente a las personas que, dentro del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mbito de sus competencias y funciones, est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autorizadas para ello dentro de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 base a lo establecido en el art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culo 32.1 de la Ley de 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del Informante, esto es:</w:t>
      </w:r>
    </w:p>
    <w:p>
      <w:pPr>
        <w:pStyle w:val="List Paragraph"/>
        <w:numPr>
          <w:ilvl w:val="1"/>
          <w:numId w:val="2"/>
        </w:numPr>
        <w:spacing w:before="217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responsable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SII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/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nea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tica;</w:t>
      </w:r>
    </w:p>
    <w:p>
      <w:pPr>
        <w:pStyle w:val="List Paragraph"/>
        <w:numPr>
          <w:ilvl w:val="1"/>
          <w:numId w:val="4"/>
        </w:numPr>
        <w:spacing w:before="3" w:line="237" w:lineRule="auto"/>
        <w:ind w:right="239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responsable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recursos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humanos,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solo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cuando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pudiera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proceder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adopci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medidas disciplinarias contra un trabajador;</w:t>
      </w:r>
    </w:p>
    <w:p>
      <w:pPr>
        <w:pStyle w:val="List Paragraph"/>
        <w:numPr>
          <w:ilvl w:val="1"/>
          <w:numId w:val="4"/>
        </w:numPr>
        <w:spacing w:before="3" w:line="237" w:lineRule="auto"/>
        <w:ind w:right="917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responsable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asesor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jur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dica,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procediera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adopci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medidas legales en relaci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con los hechos relatados en la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n;</w:t>
      </w:r>
    </w:p>
    <w:p>
      <w:pPr>
        <w:pStyle w:val="List Paragraph"/>
        <w:numPr>
          <w:ilvl w:val="1"/>
          <w:numId w:val="4"/>
        </w:numPr>
        <w:spacing w:before="4" w:line="237" w:lineRule="auto"/>
        <w:ind w:right="516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encargados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tratamiento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que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eventualmente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designen,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como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 proveedor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tecnol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gico de la plataforma que sustenta 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tica;</w:t>
      </w:r>
    </w:p>
    <w:p>
      <w:pPr>
        <w:pStyle w:val="List Paragraph"/>
        <w:numPr>
          <w:ilvl w:val="1"/>
          <w:numId w:val="2"/>
        </w:numPr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delegado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datos.</w:t>
      </w:r>
    </w:p>
    <w:p>
      <w:pPr>
        <w:pStyle w:val="Body Text"/>
        <w:spacing w:before="251"/>
        <w:ind w:right="233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cito el tratamiento de los datos por otras personas, o incluso su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a terceros, cuando resulte necesario para la adopci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medidas correctoras en la entidad o la tramitaci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los procedimientos sancionadores o penales que, en su caso, procedan.</w:t>
      </w:r>
    </w:p>
    <w:p>
      <w:pPr>
        <w:pStyle w:val="Body Text"/>
        <w:spacing w:before="216"/>
        <w:ind w:right="233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hechos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relatados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afectaran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otras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empresas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”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, las entidades afectadas 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an tener acceso a los datos en la fase de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con las mismas garant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 y restricciones.</w:t>
      </w:r>
    </w:p>
    <w:p>
      <w:pPr>
        <w:pStyle w:val="Body Text"/>
        <w:spacing w:before="221"/>
        <w:ind w:right="229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personales tratados en 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 solo 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ser comunicados a la autoridad judicial, al Ministerio Fiscal o a la autoridad administrativa competente, en el marco de una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penal, disciplinaria o sancionadora.</w:t>
      </w:r>
    </w:p>
    <w:p>
      <w:pPr>
        <w:pStyle w:val="Body Text"/>
        <w:spacing w:before="221"/>
        <w:ind w:right="229"/>
      </w:pPr>
    </w:p>
    <w:p>
      <w:pPr>
        <w:pStyle w:val="Body Text"/>
        <w:ind w:left="0" w:firstLine="0"/>
        <w:jc w:val="left"/>
      </w:pPr>
    </w:p>
    <w:p>
      <w:pPr>
        <w:pStyle w:val="heading 1"/>
        <w:numPr>
          <w:ilvl w:val="0"/>
          <w:numId w:val="5"/>
        </w:numPr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Plazo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conservaci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</w:t>
      </w:r>
    </w:p>
    <w:p>
      <w:pPr>
        <w:pStyle w:val="Body Text"/>
        <w:spacing w:before="217" w:line="244" w:lineRule="auto"/>
        <w:ind w:right="233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personales proporcionados a trav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del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 ser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tratados durante el tiempo necesario para determinar si se deben iniciar o no actuaciones de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investigaci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n.</w:t>
      </w:r>
    </w:p>
    <w:p>
      <w:pPr>
        <w:pStyle w:val="Body Text"/>
        <w:spacing w:before="205"/>
        <w:ind w:right="226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 caso de no iniciar ninguna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se proceder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la supresi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los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mismos en un plazo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ximo de tres meses desde la recepci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la comunicaci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salvo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que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finalidad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conservaci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dejar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evidencia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funcionamiento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SII</w:t>
      </w:r>
    </w:p>
    <w:p>
      <w:pPr>
        <w:pStyle w:val="Body Text"/>
        <w:spacing w:before="6" w:line="237" w:lineRule="auto"/>
        <w:ind w:right="236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/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nea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tica.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conservar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por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plazo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superior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caso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que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necesaria su intervenci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ante las autoridades policiales o judiciales.</w:t>
      </w:r>
    </w:p>
    <w:p>
      <w:pPr>
        <w:pStyle w:val="Body Text"/>
        <w:spacing w:before="3"/>
        <w:ind w:left="0" w:firstLine="0"/>
        <w:jc w:val="left"/>
      </w:pPr>
    </w:p>
    <w:p>
      <w:pPr>
        <w:pStyle w:val="Body Text"/>
        <w:ind w:right="228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 caso de iniciar una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los datos se mantendr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hasta el cierre de las actuaciones de investigaci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y, posteriormente, de forma bloqueada, durante el tiempo de prescripci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responsabilidades legales.</w:t>
      </w:r>
    </w:p>
    <w:p>
      <w:pPr>
        <w:pStyle w:val="Body Text"/>
        <w:spacing w:before="215"/>
        <w:ind w:right="224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Asimismo, se suprimir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los datos personales proporcionados a trav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del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 que no sean necesarios o que constituyan informaci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no veraz, en este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ú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ltimo caso, se proceder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la supresi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el momento en que se tenga conocimiento de la falta de veracidad.</w:t>
      </w:r>
    </w:p>
    <w:p>
      <w:pPr>
        <w:pStyle w:val="Body Text"/>
        <w:spacing w:before="215"/>
        <w:ind w:right="224"/>
      </w:pPr>
    </w:p>
    <w:p>
      <w:pPr>
        <w:pStyle w:val="heading 1"/>
        <w:numPr>
          <w:ilvl w:val="0"/>
          <w:numId w:val="5"/>
        </w:numPr>
        <w:spacing w:before="217"/>
        <w:rPr>
          <w:lang w:val="es-ES_tradnl"/>
        </w:rPr>
      </w:pP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Transferencias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internacionales</w:t>
      </w:r>
    </w:p>
    <w:p>
      <w:pPr>
        <w:pStyle w:val="Body Text"/>
        <w:spacing w:before="3"/>
        <w:ind w:left="0" w:firstLine="0"/>
        <w:jc w:val="left"/>
        <w:rPr>
          <w:rStyle w:val="None"/>
          <w:b w:val="1"/>
          <w:bCs w:val="1"/>
        </w:rPr>
      </w:pPr>
    </w:p>
    <w:p>
      <w:pPr>
        <w:pStyle w:val="Body Text"/>
        <w:ind w:right="236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datos personales proporcionados a trav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del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 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 ser transferidos a las siguientes entidades del grupo empresarial del que forma parte de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ubicadas en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xico:</w:t>
      </w:r>
    </w:p>
    <w:p>
      <w:pPr>
        <w:pStyle w:val="Body Text"/>
        <w:spacing w:before="10"/>
        <w:ind w:left="0" w:firstLine="0"/>
        <w:jc w:val="left"/>
      </w:pPr>
    </w:p>
    <w:p>
      <w:pPr>
        <w:pStyle w:val="heading 1"/>
        <w:numPr>
          <w:ilvl w:val="0"/>
          <w:numId w:val="7"/>
        </w:numPr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ASEGURADORA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ASERTA,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S.A.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C.V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0"/>
          <w:bCs w:val="0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y</w:t>
      </w:r>
      <w:r>
        <w:rPr>
          <w:rStyle w:val="None"/>
          <w:b w:val="0"/>
          <w:bCs w:val="0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ASEGURADORA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INSURGENTES,</w:t>
      </w:r>
    </w:p>
    <w:p>
      <w:pPr>
        <w:pStyle w:val="Body"/>
        <w:spacing w:before="1"/>
        <w:ind w:left="478" w:firstLine="0"/>
      </w:pPr>
      <w:r>
        <w:rPr>
          <w:rStyle w:val="None"/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>S.A.</w:t>
      </w:r>
      <w:r>
        <w:rPr>
          <w:rStyle w:val="None"/>
          <w:b w:val="1"/>
          <w:bCs w:val="1"/>
          <w:outline w:val="0"/>
          <w:color w:val="333333"/>
          <w:spacing w:val="-1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b w:val="1"/>
          <w:bCs w:val="1"/>
          <w:outline w:val="0"/>
          <w:color w:val="333333"/>
          <w:spacing w:val="-1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C.V</w:t>
      </w:r>
      <w:r>
        <w:rPr>
          <w:rStyle w:val="None"/>
          <w:outline w:val="0"/>
          <w:color w:val="333333"/>
          <w:spacing w:val="0"/>
          <w:u w:color="333333"/>
          <w:rtl w:val="0"/>
          <w14:textFill>
            <w14:solidFill>
              <w14:srgbClr w14:val="333333"/>
            </w14:solidFill>
          </w14:textFill>
        </w:rPr>
        <w:t>.,</w:t>
      </w:r>
    </w:p>
    <w:p>
      <w:pPr>
        <w:pStyle w:val="Body Text"/>
        <w:spacing w:before="4" w:line="237" w:lineRule="auto"/>
        <w:ind w:left="478" w:right="71" w:firstLine="0"/>
        <w:jc w:val="left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ambas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domicilio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Perif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rico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Sur,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ú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mero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4829,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Interior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Piso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9,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Colonia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Parque del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Pedregal,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 14010, Alcald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Tlalpan, Ciudad de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 (M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xico).</w:t>
      </w:r>
    </w:p>
    <w:p>
      <w:pPr>
        <w:pStyle w:val="List Paragraph"/>
        <w:numPr>
          <w:ilvl w:val="0"/>
          <w:numId w:val="7"/>
        </w:numPr>
        <w:spacing w:before="76"/>
        <w:ind w:right="837"/>
        <w:rPr>
          <w:lang w:val="es-ES_tradnl"/>
        </w:rPr>
      </w:pP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ETHICS GLOBAL S.A.P.I DE C.V.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 domicilio en: Montecito n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ú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mero 38, Colonia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poles,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 03810, Alcald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Benito Ju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rez, Ciudad de M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xico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(M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xico)</w:t>
      </w:r>
    </w:p>
    <w:p>
      <w:pPr>
        <w:pStyle w:val="Body Text"/>
        <w:spacing w:before="220"/>
        <w:ind w:right="22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Dichas transferencias internacionales est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basadas en acuerdos de transferencia de datos (</w:t>
      </w:r>
      <w:r>
        <w:rPr>
          <w:rStyle w:val="None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Cl</w:t>
      </w:r>
      <w:r>
        <w:rPr>
          <w:rStyle w:val="None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usulas Contractuales Tipo)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firmados entre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y las entidades del grupo empresarial indicadas sobre la base de la Decisi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2021/914 de la Comisi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la UE.</w:t>
      </w:r>
    </w:p>
    <w:p>
      <w:pPr>
        <w:pStyle w:val="Body Text"/>
        <w:spacing w:before="220"/>
        <w:ind w:right="227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heading 1"/>
        <w:numPr>
          <w:ilvl w:val="0"/>
          <w:numId w:val="8"/>
        </w:numPr>
        <w:spacing w:before="83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Derechos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conferidos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por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normativa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sobre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datos</w:t>
      </w:r>
    </w:p>
    <w:p>
      <w:pPr>
        <w:pStyle w:val="Body Text"/>
        <w:spacing w:before="251"/>
        <w:ind w:right="231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 acuerdo con la legislaci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vigente, cualquier persona tiene derecho a obtener confirmaci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sobre si se est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tratando o no sus datos personales, as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í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como a ejercer los derechos de acceso, rectificaci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limitaci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tratamiento, supresi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portabilidad y oposici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n, as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í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como a revocar el consentimiento que hubiera podido prestar dirigiendo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solicitud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al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Delegado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Datos de 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“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</w:t>
      </w:r>
      <w:r>
        <w:rPr>
          <w:rStyle w:val="None"/>
          <w:b w:val="1"/>
          <w:bCs w:val="1"/>
          <w:i w:val="1"/>
          <w:i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”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mediante los medios siguientes:</w:t>
      </w:r>
    </w:p>
    <w:p>
      <w:pPr>
        <w:pStyle w:val="List Paragraph"/>
        <w:numPr>
          <w:ilvl w:val="1"/>
          <w:numId w:val="7"/>
        </w:numPr>
        <w:spacing w:before="220" w:line="251" w:lineRule="exact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Enviando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correo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electr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nico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a: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"mailto:dpdaserta@aserta.com"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s-ES_tradnl"/>
        </w:rPr>
        <w:t>dpdaserta@aserta.com,</w:t>
      </w:r>
      <w:r>
        <w:rPr/>
        <w:fldChar w:fldCharType="end" w:fldLock="0"/>
      </w:r>
      <w:r>
        <w:rPr>
          <w:rStyle w:val="None"/>
          <w:outline w:val="0"/>
          <w:color w:val="0000ff"/>
          <w:spacing w:val="0"/>
          <w:u w:color="0000ff"/>
          <w:rtl w:val="0"/>
          <w:lang w:val="es-ES_tradnl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</w:t>
      </w:r>
    </w:p>
    <w:p>
      <w:pPr>
        <w:pStyle w:val="List Paragraph"/>
        <w:numPr>
          <w:ilvl w:val="1"/>
          <w:numId w:val="7"/>
        </w:numPr>
        <w:spacing w:before="0" w:line="244" w:lineRule="auto"/>
        <w:ind w:right="242"/>
        <w:rPr>
          <w:lang w:val="es-ES_tradnl"/>
        </w:rPr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Remitiendo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un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escrito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a: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Aseguradora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Aserta,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S.A.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C.V.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Sucursal</w:t>
      </w:r>
      <w:r>
        <w:rPr>
          <w:rStyle w:val="None"/>
          <w:b w:val="1"/>
          <w:bCs w:val="1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Espa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ñ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a la A/A Delegado de 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Datos, en Paseo de la Castellana 52 2B 28046 Madrid.</w:t>
      </w:r>
    </w:p>
    <w:p>
      <w:pPr>
        <w:pStyle w:val="Body Text"/>
        <w:spacing w:before="205" w:line="237" w:lineRule="auto"/>
        <w:ind w:right="238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En caso de dudas razonables en relaci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con la identidad del interesado, se podr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solicitar informaci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adicional necesaria para confirmar dicha identidad.</w:t>
      </w:r>
    </w:p>
    <w:p>
      <w:pPr>
        <w:pStyle w:val="Body Text"/>
        <w:spacing w:before="222"/>
        <w:ind w:right="228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No obstante, el derecho de acceso del denunciado estar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á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limitado a sus propios datos personales, no teniendo acceso a los datos sobre la identidad del denunciante ni de quienes pudieran llevar a cabo una revelaci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p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ú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blica, dado el car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cter confidencial</w:t>
      </w:r>
      <w:r>
        <w:rPr>
          <w:rStyle w:val="None"/>
          <w:outline w:val="0"/>
          <w:color w:val="333333"/>
          <w:spacing w:val="-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del SII / L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nea 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tica.</w:t>
      </w:r>
    </w:p>
    <w:p>
      <w:pPr>
        <w:pStyle w:val="Body Text"/>
        <w:spacing w:before="222"/>
        <w:ind w:right="234"/>
      </w:pP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Se informa de que, igualmente, tiene derecho a presentar una reclamaci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ante la Agencia Espa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ñ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ola de Protecci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de Datos (</w:t>
      </w:r>
      <w:r>
        <w:rPr>
          <w:rStyle w:val="None"/>
          <w:b w:val="1"/>
          <w:bCs w:val="1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AEPD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), especialmente cuando no haya obtenido satisfacci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el ejercicio de sus derechos, a trav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s de la p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 xml:space="preserve">gina web: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"http://www.aepd.es/"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s-ES_tradnl"/>
        </w:rPr>
        <w:t>www.aepd.es</w:t>
      </w:r>
      <w:r>
        <w:rPr>
          <w:rStyle w:val="None"/>
          <w:outline w:val="0"/>
          <w:color w:val="333333"/>
          <w:spacing w:val="0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</w:t>
      </w:r>
      <w:r>
        <w:rPr/>
        <w:fldChar w:fldCharType="end" w:fldLock="0"/>
      </w:r>
    </w:p>
    <w:sectPr>
      <w:headerReference w:type="default" r:id="rId4"/>
      <w:footerReference w:type="default" r:id="rId5"/>
      <w:pgSz w:w="11920" w:h="16840" w:orient="portrait"/>
      <w:pgMar w:top="1300" w:right="1460" w:bottom="280" w:left="15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ind w:left="835" w:hanging="35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834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834"/>
        </w:tabs>
        <w:ind w:left="1312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834"/>
        </w:tabs>
        <w:ind w:left="1790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834"/>
        </w:tabs>
        <w:ind w:left="2268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834"/>
        </w:tabs>
        <w:ind w:left="2746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834"/>
        </w:tabs>
        <w:ind w:left="3224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834"/>
        </w:tabs>
        <w:ind w:left="3702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834"/>
        </w:tabs>
        <w:ind w:left="4180" w:hanging="356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47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83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38"/>
        </w:tabs>
        <w:ind w:left="173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38"/>
        </w:tabs>
        <w:ind w:left="262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38"/>
        </w:tabs>
        <w:ind w:left="3516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38"/>
        </w:tabs>
        <w:ind w:left="4408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38"/>
        </w:tabs>
        <w:ind w:left="53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38"/>
        </w:tabs>
        <w:ind w:left="6192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38"/>
        </w:tabs>
        <w:ind w:left="708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tabs>
            <w:tab w:val="left" w:pos="838"/>
          </w:tabs>
          <w:ind w:left="838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838"/>
          </w:tabs>
          <w:ind w:left="838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836"/>
            <w:tab w:val="left" w:pos="838"/>
          </w:tabs>
          <w:ind w:left="1316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836"/>
            <w:tab w:val="left" w:pos="838"/>
          </w:tabs>
          <w:ind w:left="1794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836"/>
            <w:tab w:val="left" w:pos="838"/>
          </w:tabs>
          <w:ind w:left="2272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836"/>
            <w:tab w:val="left" w:pos="838"/>
          </w:tabs>
          <w:ind w:left="275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836"/>
            <w:tab w:val="left" w:pos="838"/>
          </w:tabs>
          <w:ind w:left="3228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836"/>
            <w:tab w:val="left" w:pos="838"/>
          </w:tabs>
          <w:ind w:left="3706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836"/>
            <w:tab w:val="left" w:pos="838"/>
          </w:tabs>
          <w:ind w:left="4184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35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838"/>
          </w:tabs>
          <w:ind w:left="838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834"/>
            <w:tab w:val="left" w:pos="838"/>
          </w:tabs>
          <w:ind w:left="1316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834"/>
            <w:tab w:val="left" w:pos="838"/>
          </w:tabs>
          <w:ind w:left="1794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834"/>
            <w:tab w:val="left" w:pos="838"/>
          </w:tabs>
          <w:ind w:left="2272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834"/>
            <w:tab w:val="left" w:pos="838"/>
          </w:tabs>
          <w:ind w:left="2750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834"/>
            <w:tab w:val="left" w:pos="838"/>
          </w:tabs>
          <w:ind w:left="3228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834"/>
            <w:tab w:val="left" w:pos="838"/>
          </w:tabs>
          <w:ind w:left="3706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834"/>
            <w:tab w:val="left" w:pos="838"/>
          </w:tabs>
          <w:ind w:left="4184" w:hanging="360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834" w:hanging="356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834"/>
          </w:tabs>
          <w:ind w:left="833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834"/>
          </w:tabs>
          <w:ind w:left="1311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834"/>
          </w:tabs>
          <w:ind w:left="1789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834"/>
          </w:tabs>
          <w:ind w:left="226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834"/>
          </w:tabs>
          <w:ind w:left="2745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834"/>
          </w:tabs>
          <w:ind w:left="3223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834"/>
          </w:tabs>
          <w:ind w:left="3701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834"/>
          </w:tabs>
          <w:ind w:left="4179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0"/>
    <w:lvlOverride w:ilvl="0">
      <w:startOverride w:val="7"/>
      <w:lvl w:ilvl="0">
        <w:start w:val="7"/>
        <w:numFmt w:val="upperLetter"/>
        <w:suff w:val="tab"/>
        <w:lvlText w:val="%1."/>
        <w:lvlJc w:val="left"/>
        <w:pPr>
          <w:ind w:left="836" w:hanging="358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836"/>
          </w:tabs>
          <w:ind w:left="835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836"/>
          </w:tabs>
          <w:ind w:left="1313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836"/>
          </w:tabs>
          <w:ind w:left="1791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836"/>
          </w:tabs>
          <w:ind w:left="2269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836"/>
          </w:tabs>
          <w:ind w:left="2747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836"/>
          </w:tabs>
          <w:ind w:left="3225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836"/>
          </w:tabs>
          <w:ind w:left="3703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836"/>
          </w:tabs>
          <w:ind w:left="4181" w:hanging="357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35" w:right="0" w:hanging="357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None">
    <w:name w:val="None"/>
  </w:style>
  <w:style w:type="character" w:styleId="Hyperlink.1">
    <w:name w:val="Hyperlink.1"/>
    <w:basedOn w:val="None"/>
    <w:next w:val="Hyperlink.1"/>
    <w:rPr>
      <w:outline w:val="0"/>
      <w:color w:val="0000ff"/>
      <w:spacing w:val="0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838" w:right="0" w:hanging="36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6"/>
      </w:numPr>
    </w:pPr>
  </w:style>
  <w:style w:type="character" w:styleId="Hyperlink.2">
    <w:name w:val="Hyperlink.2"/>
    <w:basedOn w:val="None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